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580A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  <w:r>
        <w:rPr>
          <w:b w:val="1"/>
        </w:rPr>
        <w:t>1 В класс</w:t>
      </w:r>
    </w:p>
    <w:p>
      <w:pPr>
        <w:pStyle w:val="P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14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  <w:jc w:val="both"/>
            </w:pPr>
          </w:p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4"/>
            </w:pPr>
            <w:r>
              <w:t>Промежуточная аттестация. Устно.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15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  <w:jc w:val="both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4"/>
            </w:pPr>
            <w:r>
              <w:t>Промежуточная аттестация. Устно.</w:t>
            </w:r>
          </w:p>
        </w:tc>
      </w:tr>
    </w:tbl>
    <w:p>
      <w:pPr>
        <w:pStyle w:val="P1"/>
      </w:pPr>
    </w:p>
    <w:p>
      <w:pPr>
        <w:rPr>
          <w:rFonts w:ascii="Times New Roman" w:hAnsi="Times New Roman"/>
          <w:sz w:val="24"/>
        </w:rPr>
      </w:pPr>
    </w:p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</w:pPr>
    <w:rPr/>
  </w:style>
  <w:style w:type="paragraph" w:styleId="P3">
    <w:name w:val="Базовый"/>
    <w:basedOn w:val="P0"/>
    <w:next w:val="P3"/>
    <w:pPr>
      <w:spacing w:lineRule="auto" w:line="240" w:after="0" w:beforeAutospacing="0" w:afterAutospacing="0"/>
    </w:pPr>
    <w:rPr/>
  </w:style>
  <w:style w:type="paragraph" w:styleId="P4">
    <w:name w:val="Содержимое таблицы"/>
    <w:basedOn w:val="P3"/>
    <w:next w:val="P4"/>
    <w:pPr>
      <w:suppressLineNumbers w:val="1"/>
      <w:spacing w:after="200" w:beforeAutospacing="0" w:afterAutospacing="0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